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lang w:val="en-US" w:eastAsia="zh-CN"/>
        </w:rPr>
      </w:pPr>
      <w:bookmarkStart w:id="0" w:name="_Toc382838400"/>
      <w:bookmarkStart w:id="1" w:name="_Toc287988974"/>
      <w:bookmarkStart w:id="2" w:name="_Toc287988806"/>
      <w:r>
        <w:rPr>
          <w:rFonts w:hint="eastAsia" w:ascii="方正小标宋_GBK" w:hAnsi="方正小标宋_GBK" w:eastAsia="方正小标宋_GBK" w:cs="方正小标宋_GBK"/>
          <w:b w:val="0"/>
          <w:bCs/>
          <w:sz w:val="44"/>
          <w:szCs w:val="44"/>
        </w:rPr>
        <w:t>昆明市晋宁区国有资本运营有限公司发行2022年度中期票据承销商招标代理机构</w:t>
      </w:r>
      <w:bookmarkEnd w:id="0"/>
      <w:bookmarkEnd w:id="1"/>
      <w:bookmarkEnd w:id="2"/>
      <w:r>
        <w:rPr>
          <w:rFonts w:hint="eastAsia" w:ascii="方正小标宋_GBK" w:hAnsi="方正小标宋_GBK" w:eastAsia="方正小标宋_GBK" w:cs="方正小标宋_GBK"/>
          <w:b w:val="0"/>
          <w:bCs/>
          <w:sz w:val="44"/>
          <w:szCs w:val="44"/>
          <w:lang w:val="en-US" w:eastAsia="zh-CN"/>
        </w:rPr>
        <w:t>选聘评审办法</w:t>
      </w:r>
    </w:p>
    <w:p>
      <w:pPr>
        <w:adjustRightInd w:val="0"/>
        <w:snapToGrid w:val="0"/>
        <w:spacing w:line="360" w:lineRule="auto"/>
        <w:ind w:firstLine="482" w:firstLineChars="200"/>
        <w:rPr>
          <w:rFonts w:hint="eastAsia" w:hAnsi="宋体" w:cs="宋体"/>
          <w:b/>
          <w:color w:val="000000"/>
          <w:sz w:val="24"/>
        </w:rPr>
      </w:pPr>
    </w:p>
    <w:p>
      <w:pPr>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一、资格审查：</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评审小组对各报价申请单位递交的报价申请文件进行资格审查，</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bCs/>
          <w:color w:val="000000"/>
          <w:kern w:val="0"/>
          <w:sz w:val="32"/>
          <w:szCs w:val="32"/>
        </w:rPr>
        <w:t>营业执照：报价人须具有中华人民共和国市场监督管理部门颁发有效的营业</w:t>
      </w:r>
      <w:r>
        <w:rPr>
          <w:rFonts w:hint="eastAsia" w:ascii="仿宋_GB2312" w:hAnsi="仿宋_GB2312" w:eastAsia="仿宋_GB2312" w:cs="仿宋_GB2312"/>
          <w:color w:val="000000"/>
          <w:sz w:val="32"/>
          <w:szCs w:val="32"/>
        </w:rPr>
        <w:t>执照，经营范围中包含能满足本次招标所要求的相关业务，并具备完成本招标项目服务能力；</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（2）资质要求：报价人具有财政部门核发的《会计师事务所执业资格证》。对不满足资格审查标准的报价申请文件将不予考虑。</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（3）报价人为收到邀请书的单位</w:t>
      </w:r>
    </w:p>
    <w:p>
      <w:pPr>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二、符合性评审：</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评审委员会依据询价文件的要求，对报价申请单位递交的报价申请文件进行细致审阅和评审，如有下列情况之一的报价申请文件不予考虑：</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（1）未按询价文件要求签字、盖章的；</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（2）报价判申请文件未按规定格式和要求填写，内容不全或字迹模糊，辨认不清而影响评审的；</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（3）明显不符合国家有关规范要求或技术规格或技术标准要求的；</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（4）报价申请文件附有询价人不能接受的条件或报价明显高于市场价;</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说明：未通过资格审查、符合性评审的报价申请单位不予进入下一步详细评审。</w:t>
      </w:r>
    </w:p>
    <w:p>
      <w:pPr>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三、详细评审：</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（1）采用</w:t>
      </w:r>
      <w:r>
        <w:rPr>
          <w:rFonts w:hint="eastAsia" w:ascii="仿宋_GB2312" w:hAnsi="仿宋_GB2312" w:eastAsia="仿宋_GB2312" w:cs="仿宋_GB2312"/>
          <w:b/>
          <w:color w:val="000000"/>
          <w:sz w:val="32"/>
          <w:szCs w:val="32"/>
          <w:u w:val="single"/>
        </w:rPr>
        <w:t>综合评估法</w:t>
      </w:r>
      <w:r>
        <w:rPr>
          <w:rFonts w:hint="eastAsia" w:ascii="仿宋_GB2312" w:hAnsi="仿宋_GB2312" w:eastAsia="仿宋_GB2312" w:cs="仿宋_GB2312"/>
          <w:color w:val="000000"/>
          <w:sz w:val="32"/>
          <w:szCs w:val="32"/>
        </w:rPr>
        <w:t>对各报价申请单位递交的报价申请文件报价、商务及技术进行综合评审，按得分由高到低进行排序（如报价申请单位最终得分相同时以报价低者优先），推荐第一成交候选人。</w:t>
      </w:r>
    </w:p>
    <w:p>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报价部分评分和商务部分评分采用委员会集中评审方式，若评委意见不一致时，则按少数服从多数的原则确定分值；技术部分评分以各评委独立打分合计的总分除以评委数量计算出平均分，即为报价申请人的最终技术部分得分（保留小数点后两位）。</w:t>
      </w:r>
    </w:p>
    <w:p>
      <w:pPr>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最终得分（100分）=报价得分（30分）+技术部分得分（70分）</w:t>
      </w:r>
    </w:p>
    <w:p>
      <w:pPr>
        <w:pStyle w:val="2"/>
        <w:pageBreakBefore w:val="0"/>
        <w:widowControl w:val="0"/>
        <w:kinsoku/>
        <w:wordWrap/>
        <w:overflowPunct/>
        <w:topLinePunct w:val="0"/>
        <w:autoSpaceDE/>
        <w:autoSpaceDN/>
        <w:bidi w:val="0"/>
        <w:adjustRightInd w:val="0"/>
        <w:snapToGrid w:val="0"/>
        <w:spacing w:before="0" w:after="0"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2"/>
          <w:szCs w:val="32"/>
        </w:rPr>
        <w:t>评审表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3"/>
        <w:gridCol w:w="900"/>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1353" w:type="dxa"/>
            <w:noWrap w:val="0"/>
            <w:vAlign w:val="center"/>
          </w:tcPr>
          <w:p>
            <w:pPr>
              <w:pageBreakBefore w:val="0"/>
              <w:widowControl w:val="0"/>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评审项目</w:t>
            </w:r>
          </w:p>
        </w:tc>
        <w:tc>
          <w:tcPr>
            <w:tcW w:w="900"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分值</w:t>
            </w:r>
          </w:p>
        </w:tc>
        <w:tc>
          <w:tcPr>
            <w:tcW w:w="6076"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4" w:type="dxa"/>
            <w:gridSpan w:val="4"/>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报价得分（30分）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75"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53"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w:t>
            </w:r>
          </w:p>
        </w:tc>
        <w:tc>
          <w:tcPr>
            <w:tcW w:w="900"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w:t>
            </w:r>
          </w:p>
        </w:tc>
        <w:tc>
          <w:tcPr>
            <w:tcW w:w="6076" w:type="dxa"/>
            <w:noWrap w:val="0"/>
            <w:vAlign w:val="center"/>
          </w:tcPr>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报价最低得30分；报价第二低得25分；报价第三低得20分；报价第四低得15分；报价最高得10分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4" w:type="dxa"/>
            <w:gridSpan w:val="4"/>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技术部分评分（满分70分）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53"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总体服务方案</w:t>
            </w:r>
          </w:p>
        </w:tc>
        <w:tc>
          <w:tcPr>
            <w:tcW w:w="900"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6076" w:type="dxa"/>
            <w:noWrap w:val="0"/>
            <w:vAlign w:val="center"/>
          </w:tcPr>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通过投标文件中制定的</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方案评审，分析人员组织，工作重点、难点，对项目</w:t>
            </w:r>
            <w:r>
              <w:rPr>
                <w:rFonts w:hint="eastAsia" w:ascii="仿宋_GB2312" w:hAnsi="仿宋_GB2312" w:eastAsia="仿宋_GB2312" w:cs="仿宋_GB2312"/>
                <w:sz w:val="32"/>
                <w:szCs w:val="32"/>
                <w:lang w:val="en-US" w:eastAsia="zh-CN"/>
              </w:rPr>
              <w:t>服务方案的</w:t>
            </w:r>
            <w:r>
              <w:rPr>
                <w:rFonts w:hint="eastAsia" w:ascii="仿宋_GB2312" w:hAnsi="仿宋_GB2312" w:eastAsia="仿宋_GB2312" w:cs="仿宋_GB2312"/>
                <w:sz w:val="32"/>
                <w:szCs w:val="32"/>
              </w:rPr>
              <w:t>建设性意见是否具有针对性、适用性等进行评审：</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第一档（10-15分）：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工作方案拟定较合理，针对性较强，内容范围较完整，考虑全面，针对本项目特点提出切实可行的方案，整体方案评价良好；</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第二档（6-9分）：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工作方案拟定基本合理，针对性一般，内容服务范围仅体现主体，考虑一般，针对本项目特点提出有一定可行性的方案，整体方案评价一般；</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第三档（1-5分）：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工作方案拟定较为欠缺，针对性不强，内容范围完整性不够、有所缺失，考虑不周，针对本项目特点提出的方案基本满足招标文件要求；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53"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服务质量保证措施及承诺</w:t>
            </w:r>
          </w:p>
        </w:tc>
        <w:tc>
          <w:tcPr>
            <w:tcW w:w="900"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6076" w:type="dxa"/>
            <w:noWrap w:val="0"/>
            <w:vAlign w:val="center"/>
          </w:tcPr>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第一档（7-10分）：服务质量保证体系健全，工作程序清晰，安排科学，保证措施有力，有具体可行的质量违约责任承诺，承诺条件较好的；</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第二档（4-6分）：服务质量保证体系基本完整，工作程序基本清晰，安排及保证措施基本合理，有质量违约责任承诺但不具体，承诺条件一般的；</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第三档（1-3分）：服务质量保证体系不健全，工作程序不清晰，安排及保证措施不够合理，质量违约责任承诺较模糊，甚至无质量违约责任承诺的。</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未提供本项目审计服务质量保障方案的不得分。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353"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拟配备人员专业及经验能力</w:t>
            </w:r>
          </w:p>
        </w:tc>
        <w:tc>
          <w:tcPr>
            <w:tcW w:w="900"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15</w:t>
            </w:r>
            <w:r>
              <w:rPr>
                <w:rFonts w:hint="eastAsia" w:ascii="仿宋_GB2312" w:hAnsi="仿宋_GB2312" w:eastAsia="仿宋_GB2312" w:cs="仿宋_GB2312"/>
                <w:spacing w:val="-3"/>
                <w:sz w:val="32"/>
                <w:szCs w:val="32"/>
              </w:rPr>
              <w:t>分</w:t>
            </w:r>
          </w:p>
        </w:tc>
        <w:tc>
          <w:tcPr>
            <w:tcW w:w="6076" w:type="dxa"/>
            <w:noWrap w:val="0"/>
            <w:vAlign w:val="center"/>
          </w:tcPr>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一、拟配项目负责人经验（5分）</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项目负责人自201</w:t>
            </w:r>
            <w:r>
              <w:rPr>
                <w:rFonts w:hint="eastAsia" w:ascii="仿宋_GB2312" w:hAnsi="仿宋_GB2312" w:eastAsia="仿宋_GB2312" w:cs="仿宋_GB2312"/>
                <w:sz w:val="32"/>
                <w:szCs w:val="32"/>
                <w:lang w:val="en-US" w:eastAsia="zh-CN"/>
              </w:rPr>
              <w:t>9年</w:t>
            </w:r>
            <w:r>
              <w:rPr>
                <w:rFonts w:hint="eastAsia" w:ascii="仿宋_GB2312" w:hAnsi="仿宋_GB2312" w:eastAsia="仿宋_GB2312" w:cs="仿宋_GB2312"/>
                <w:sz w:val="32"/>
                <w:szCs w:val="32"/>
              </w:rPr>
              <w:t>至今作为项目负责人已完成1个类似</w:t>
            </w:r>
            <w:r>
              <w:rPr>
                <w:rFonts w:hint="eastAsia" w:ascii="仿宋_GB2312" w:hAnsi="仿宋_GB2312" w:eastAsia="仿宋_GB2312" w:cs="仿宋_GB2312"/>
                <w:sz w:val="32"/>
                <w:szCs w:val="32"/>
                <w:lang w:val="en-US" w:eastAsia="zh-CN"/>
              </w:rPr>
              <w:t>债券发行招标代理</w:t>
            </w:r>
            <w:r>
              <w:rPr>
                <w:rFonts w:hint="eastAsia" w:ascii="仿宋_GB2312" w:hAnsi="仿宋_GB2312" w:eastAsia="仿宋_GB2312" w:cs="仿宋_GB2312"/>
                <w:sz w:val="32"/>
                <w:szCs w:val="32"/>
              </w:rPr>
              <w:t>服务业绩经验的得1分，分数加满为止。</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业绩的证明材料为：中标通知书或合同协议或业主证明材料或已出具的审计报告重要页面等资料复印件；证明材料中必须体现项目内容及负责人姓名方有效。</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二、拟配备项目团队人员配置（1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pageBreakBefore w:val="0"/>
              <w:widowControl w:val="0"/>
              <w:kinsoku/>
              <w:wordWrap/>
              <w:overflowPunct/>
              <w:topLinePunct w:val="0"/>
              <w:autoSpaceDE/>
              <w:autoSpaceDN/>
              <w:bidi w:val="0"/>
              <w:adjustRightInd w:val="0"/>
              <w:snapToGrid w:val="0"/>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拟配备项目团队人员配置方案、人员资质、业绩经验、服务承诺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拟配备项目团队人员资质情况等横向对比打分：</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1.针对性强、专业性强、搭配合理、经验丰富的得7-</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2.针对性一般、搭配基本合理的、专业性一般的得4-6分。</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3.针对性较弱、搭配不合理、专业性较差的得1-3分。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353"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企业类似业绩</w:t>
            </w:r>
          </w:p>
        </w:tc>
        <w:tc>
          <w:tcPr>
            <w:tcW w:w="900"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20</w:t>
            </w:r>
          </w:p>
        </w:tc>
        <w:tc>
          <w:tcPr>
            <w:tcW w:w="6076" w:type="dxa"/>
            <w:noWrap w:val="0"/>
            <w:vAlign w:val="center"/>
          </w:tcPr>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根据投标人201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年至今完成</w:t>
            </w:r>
            <w:r>
              <w:rPr>
                <w:rFonts w:hint="eastAsia" w:ascii="仿宋_GB2312" w:hAnsi="仿宋_GB2312" w:eastAsia="仿宋_GB2312" w:cs="仿宋_GB2312"/>
                <w:color w:val="auto"/>
                <w:sz w:val="32"/>
                <w:szCs w:val="32"/>
              </w:rPr>
              <w:t>承担过</w:t>
            </w:r>
            <w:r>
              <w:rPr>
                <w:rFonts w:hint="eastAsia" w:ascii="仿宋_GB2312" w:hAnsi="仿宋_GB2312" w:eastAsia="仿宋_GB2312" w:cs="仿宋_GB2312"/>
                <w:color w:val="auto"/>
                <w:sz w:val="32"/>
                <w:szCs w:val="32"/>
                <w:lang w:val="en-US" w:eastAsia="zh-CN"/>
              </w:rPr>
              <w:t>国有企业债券发行、中票发行等</w:t>
            </w:r>
            <w:r>
              <w:rPr>
                <w:rFonts w:hint="eastAsia" w:ascii="仿宋_GB2312" w:hAnsi="仿宋_GB2312" w:eastAsia="仿宋_GB2312" w:cs="仿宋_GB2312"/>
                <w:color w:val="auto"/>
                <w:sz w:val="32"/>
                <w:szCs w:val="32"/>
              </w:rPr>
              <w:t>招标代理</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sz w:val="32"/>
                <w:szCs w:val="32"/>
              </w:rPr>
              <w:t>，有一项类似业绩的得基本分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分，在此基础上，每增加一项类似业绩加2分，满分为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（以代理合同或中标通知书为准）</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353"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廉洁管理措施及承诺</w:t>
            </w:r>
          </w:p>
        </w:tc>
        <w:tc>
          <w:tcPr>
            <w:tcW w:w="900" w:type="dxa"/>
            <w:noWrap w:val="0"/>
            <w:vAlign w:val="center"/>
          </w:tcPr>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10分</w:t>
            </w:r>
          </w:p>
        </w:tc>
        <w:tc>
          <w:tcPr>
            <w:tcW w:w="6076" w:type="dxa"/>
            <w:noWrap w:val="0"/>
            <w:vAlign w:val="center"/>
          </w:tcPr>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第一档（</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-10分）：廉洁管理措施具体详细、合理、有针对性，充分结合相关法规和制度，风险控制措施得当，有具体违约处罚承诺的; </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第二档（</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分）：廉洁管理措施一般，结合部分相关法规和制度，风险控制措施不具体，有部分违约处罚承诺的；</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第三档（得1-3分）：廉洁管理措施较差，违约处罚承诺较差的或无违约处罚承诺的。</w:t>
            </w:r>
          </w:p>
        </w:tc>
      </w:tr>
    </w:tbl>
    <w:p>
      <w:pPr>
        <w:pageBreakBefore w:val="0"/>
        <w:widowControl w:val="0"/>
        <w:kinsoku/>
        <w:wordWrap/>
        <w:overflowPunct/>
        <w:topLinePunct w:val="0"/>
        <w:autoSpaceDE/>
        <w:autoSpaceDN/>
        <w:bidi w:val="0"/>
        <w:adjustRightInd w:val="0"/>
        <w:snapToGrid w:val="0"/>
        <w:spacing w:line="480" w:lineRule="exact"/>
        <w:ind w:firstLine="630" w:firstLineChars="196"/>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五、报价评审原则</w:t>
      </w:r>
    </w:p>
    <w:p>
      <w:pPr>
        <w:pageBreakBefore w:val="0"/>
        <w:widowControl w:val="0"/>
        <w:kinsoku/>
        <w:wordWrap/>
        <w:overflowPunct/>
        <w:topLinePunct w:val="0"/>
        <w:autoSpaceDE/>
        <w:autoSpaceDN/>
        <w:bidi w:val="0"/>
        <w:adjustRightInd w:val="0"/>
        <w:snapToGrid w:val="0"/>
        <w:spacing w:line="480" w:lineRule="exact"/>
        <w:ind w:firstLine="627" w:firstLineChars="196"/>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报价评审活动遵循公平、公正、科学和择优的原则。</w:t>
      </w:r>
    </w:p>
    <w:p>
      <w:pPr>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六、</w:t>
      </w:r>
      <w:r>
        <w:rPr>
          <w:rFonts w:hint="eastAsia" w:ascii="仿宋_GB2312" w:hAnsi="仿宋_GB2312" w:eastAsia="仿宋_GB2312" w:cs="仿宋_GB2312"/>
          <w:color w:val="000000"/>
          <w:sz w:val="32"/>
          <w:szCs w:val="32"/>
        </w:rPr>
        <w:t>报价委员会严格按照竞争性报价文件规定的评审程序、评审因素、评审标准和评审办法对报价申请文件进行评审。竞争性报价文件没有规定的程序、因素、标准和办法，不作为报价评审依据。</w:t>
      </w:r>
    </w:p>
    <w:p>
      <w:pPr>
        <w:pageBreakBefore w:val="0"/>
        <w:widowControl w:val="0"/>
        <w:kinsoku/>
        <w:wordWrap/>
        <w:overflowPunct/>
        <w:topLinePunct w:val="0"/>
        <w:autoSpaceDE/>
        <w:autoSpaceDN/>
        <w:bidi w:val="0"/>
        <w:spacing w:line="480" w:lineRule="exact"/>
        <w:textAlignment w:val="auto"/>
        <w:rPr>
          <w:rFonts w:hint="eastAsia"/>
          <w:lang w:val="en-US" w:eastAsia="zh-CN"/>
        </w:rPr>
      </w:pPr>
    </w:p>
    <w:p>
      <w:pPr>
        <w:pageBreakBefore w:val="0"/>
        <w:widowControl w:val="0"/>
        <w:kinsoku/>
        <w:wordWrap/>
        <w:overflowPunct/>
        <w:topLinePunct w:val="0"/>
        <w:autoSpaceDE/>
        <w:autoSpaceDN/>
        <w:bidi w:val="0"/>
        <w:spacing w:line="48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7259F"/>
    <w:rsid w:val="0B111A0C"/>
    <w:rsid w:val="19212BB3"/>
    <w:rsid w:val="3FA92EE1"/>
    <w:rsid w:val="4D834C75"/>
    <w:rsid w:val="540A1D99"/>
    <w:rsid w:val="5BA43FB8"/>
    <w:rsid w:val="5FFC21A0"/>
    <w:rsid w:val="69AF0748"/>
    <w:rsid w:val="793A532E"/>
    <w:rsid w:val="7F0A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2070</Words>
  <Characters>2133</Characters>
  <Lines>0</Lines>
  <Paragraphs>0</Paragraphs>
  <TotalTime>1</TotalTime>
  <ScaleCrop>false</ScaleCrop>
  <LinksUpToDate>false</LinksUpToDate>
  <CharactersWithSpaces>2134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2022-03-29T02:50:00Z</dcterms:created>
  <dc:creator>bw</dc:creator>
  <cp:lastModifiedBy>♛S W A N。</cp:lastModifiedBy>
  <dcterms:modified xsi:type="dcterms:W3CDTF">2022-03-29T04:00:42Z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6D22217A12C64E2DAC9BC62448E161D0</vt:lpwstr>
  </property>
</Properties>
</file>