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525" w:beforeAutospacing="0" w:after="375" w:afterAutospacing="0" w:line="360" w:lineRule="auto"/>
        <w:jc w:val="center"/>
        <w:rPr>
          <w:rFonts w:hint="eastAsia" w:cs="微软雅黑" w:asciiTheme="majorEastAsia" w:hAnsiTheme="majorEastAsia" w:eastAsiaTheme="majorEastAsia"/>
          <w:sz w:val="45"/>
          <w:szCs w:val="45"/>
          <w:shd w:val="clear" w:color="auto" w:fill="FFFFFF"/>
          <w:lang w:eastAsia="zh-CN"/>
        </w:rPr>
      </w:pPr>
      <w:r>
        <w:rPr>
          <w:rFonts w:cs="微软雅黑" w:asciiTheme="majorEastAsia" w:hAnsiTheme="majorEastAsia" w:eastAsiaTheme="majorEastAsia"/>
          <w:sz w:val="45"/>
          <w:szCs w:val="45"/>
          <w:shd w:val="clear" w:color="auto" w:fill="FFFFFF"/>
        </w:rPr>
        <w:t>昆明市晋宁区国有资本运营有限公司</w:t>
      </w:r>
      <w:r>
        <w:rPr>
          <w:rFonts w:hint="eastAsia" w:cs="微软雅黑" w:asciiTheme="majorEastAsia" w:hAnsiTheme="majorEastAsia" w:eastAsiaTheme="majorEastAsia"/>
          <w:sz w:val="45"/>
          <w:szCs w:val="45"/>
          <w:shd w:val="clear" w:color="auto" w:fill="FFFFFF"/>
          <w:lang w:eastAsia="zh-CN"/>
        </w:rPr>
        <w:t>安全加固</w:t>
      </w:r>
      <w:r>
        <w:rPr>
          <w:rFonts w:cs="微软雅黑" w:asciiTheme="majorEastAsia" w:hAnsiTheme="majorEastAsia" w:eastAsiaTheme="majorEastAsia"/>
          <w:sz w:val="45"/>
          <w:szCs w:val="45"/>
          <w:shd w:val="clear" w:color="auto" w:fill="FFFFFF"/>
        </w:rPr>
        <w:t>项目</w:t>
      </w:r>
      <w:r>
        <w:rPr>
          <w:rFonts w:hint="eastAsia" w:cs="微软雅黑" w:asciiTheme="majorEastAsia" w:hAnsiTheme="majorEastAsia" w:eastAsiaTheme="majorEastAsia"/>
          <w:sz w:val="45"/>
          <w:szCs w:val="45"/>
          <w:shd w:val="clear" w:color="auto" w:fill="FFFFFF"/>
          <w:lang w:eastAsia="zh-CN"/>
        </w:rPr>
        <w:t>采购清单</w:t>
      </w:r>
    </w:p>
    <w:tbl>
      <w:tblPr>
        <w:tblStyle w:val="8"/>
        <w:tblW w:w="10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876"/>
        <w:gridCol w:w="7796"/>
        <w:gridCol w:w="494"/>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6"/>
                <w:szCs w:val="36"/>
                <w:u w:val="none"/>
              </w:rPr>
            </w:pPr>
            <w:r>
              <w:rPr>
                <w:rFonts w:hint="eastAsia" w:asciiTheme="minorEastAsia" w:hAnsiTheme="minorEastAsia" w:eastAsiaTheme="minorEastAsia" w:cstheme="minorEastAsia"/>
                <w:b/>
                <w:bCs/>
                <w:i w:val="0"/>
                <w:iCs w:val="0"/>
                <w:color w:val="000000"/>
                <w:kern w:val="0"/>
                <w:sz w:val="36"/>
                <w:szCs w:val="36"/>
                <w:u w:val="none"/>
                <w:lang w:val="en-US" w:eastAsia="zh-CN" w:bidi="ar"/>
              </w:rPr>
              <w:t>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序号</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产品线</w:t>
            </w:r>
          </w:p>
        </w:tc>
        <w:tc>
          <w:tcPr>
            <w:tcW w:w="7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详细技术要求</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VPN</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1、标准1U机架式设备；不少于4个千兆电口；吞吐量≥150Mbps，并发会话数≥35w；支持 SSL VPN 并发用户不少于300个.</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2、支持终端使用包括IE6、7、8、10、11或其他IE内核的浏览器，以及最新版本的非IE内核浏览器，如Windows EDGE，Google Chrome，Firefox，Safari，Opera最新版登录SSLVPN系统，登录后可完整支持各种IP层以上的B/S和C/S应用。（（提供截图证明，或现场演示））；</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3、产品应提供环境检测、自动修复工具，支持对Windows的环境兼容性一键检测能力，以及对检测结果进行一键修复的能力，避免由于用户操作系统环境存在问题影响SSL VPN的使用，减轻运维工作。（提高截图证明并加盖厂商公章）；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4、产品应提供HTTPS驱动病毒查杀工具，支持对Windows环境下的针对HTTPS拦截监听的驱动病毒进行扫描查杀，避免因为HTTPS驱动病毒导致无法正常接入和使用SSL VPN；</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5、支持主从认证账号绑定，必须实现SSL VPN账号与应用系统账号的唯一绑定，VPN资源中的系统只能以指定账号登陆，加强身份认证，防止登录SSL VPN后冒名登录应用系统；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6、支持设备自身的抗攻击防护，支持防Host头部攻击设置，用于防止Host头部攻击, 设备只允许通过符合设置规则的地址进行访问；支持防SWEET32攻击设置，用于防止SWEET32攻击。（提供配置截图并加盖厂商公章）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7、必须支持至少4条以上的外网多线路配置；并在设备单臂部署模式下，多线路接入前置网关，仅依靠SSLVPN设备同样可实现SSLVPN接入用户的多线路自动优选功能（提供相关证明材料）</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针对B/S资源支持WebCache技术，动态缓存页面元素，提高Web页面响应速度。支持流缓存技术，实现网关与网关、网关与移动客户端之间进行多磁盘、双向、基于分片数据包的字节流缓存加速，削减冗余数据，降低带宽压力的同时提高访问速度；支持共享流缓存功能，实现多分支网关在总部共享流缓存数据，提高流缓存效果（提供界面配置截图，并提供自主知识产权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支持15级以上的管理员分级分权限管理，从Admin派生树形结构下级管理员；上级管理员可分配下级管理员享有设备配置模块权限，可管理的用户、资源、角色权限，并可限制下级管理员是否允许创建下级管理员、创建资源、创建角色；上级管理员可限制下级管理员对权限内配置享有查看或配置权限；</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支持利用网页进行动态寻址的方法，客户端无需安装插件、不依靠IP地址库、不依赖于第三方动态IP寻址、直接根据速度探测实现用户端接入线路的自动优选,用户通过访问寻址代理页面（简称Webagent页面），通过Webagent页面自动寻找VPN设备IP(非DDNS）,该方法不必单独注册域名或占用IP地址，大大降低了系统部署难度（提供自主知识产权证明或其他证明材料并加盖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11、提供公安部信息安全产品检测中心颁发的《GA/T 686-2007信息安全技术 虚拟专用网安全技术要求》三级或三级以上检测报告（三级以上为四级、五级）；</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12、★设备生产厂商需为国家密码管理局发布的《SSL VPN技术规范》起草单位之一；</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13、★设备生产厂商需为国家密码管理局发布的《IPSec VPN技术规范》起草单位之一；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14、提供SSL VPN必须在近三年内至少曾有1年在中国国内SSL VPN或VPN硬件市场占有率为前三名，提供权威的第三方机构数据证明；</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所采设备必须包含3年免费上门维护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防火墙</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1、★1U设备，不少于6个千兆电口，2个千兆光口，吞吐量不低于4G，包含3年软硬件维保服务；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2、支持路由、透明、虚拟网线、旁路镜像、混合等多种部署方式，适应复杂使用环境的接入要求；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3、★具备链路故障检测功能，通过ARP、DNS、PING协议等方式检测目标主机的可达性，确认接口链路是否有效，并可自定义检测频率。（需提供产品功能截图证明）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4、★支持基于IP地址、端口、地域、协议、应用等维度配置策略路由策略，支持多种负载均衡算法，包括加权、带宽比例、轮询、线路排序等。（需提供产品功能截图证明）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5、IPSec VPN支持智能选路功能，保障业务的高可靠性。（需提供产品功能截图证明）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6、产品内置应用特征识别库，支持不少于10000种应用规则，支持对游戏、P2P下载工具、聊天工具、网上银行、视频软件、股票软件、木马控制软件等类型应用进行检测与控制。（需提供产品功能截图证明）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7、★具备基于国家/地区的流量管理功能，提供具备CNAS（中国合格评定国家认可委员会）资质的第三方权威机构关于“国家/地区的流量管理”产品功能检测报告。</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8、支持基于区域和IP地址配置连接控制策略，对特定IP地址设置最大并发连接数，实现内部资源保护和系统资源合理分配。</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9、支持对HTTP、HTTPS、FTP、SMB、SMTP、POP3、IMAP协议进行病毒检测和查杀，支持最大16层的压缩文件查杀。（需提供产品功能截图证明）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10、★具备勒索软件通信防护功能，提供具备CNAS（中国合格评定国家认可委员会）资质的第三方权威机构关于“勒索软件通信防护”产品功能检测报告。</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11、产品内置IPS检测引擎，支持口令暴力破解、僵尸网络、恶意软件、服务器与终端漏洞攻击等检测和防护，支持超过7000种特征规则。（需提供产品功能截图证明）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12、支持应用控制策略生命周期管理，包含安全策略的变更时间、变更类型和策略变更用户，并对变更内容记录日志，方便策略的管理和运维。（需提供产品功能截图证明）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13、★所投产品厂商是微软安全响应中心（Microsoft Security Response Center）发起的MAPP（Microsoft Active Protection Program）计划成员，可在微软发布每月安全公告之前获得微软产品的详细漏洞信息，为用户提供更及时的安全防护；（提供证明材料并加盖厂商公章）。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14、★所投产品的生产厂商应是第八届国家互联网应急响应中心网络安全应急服务国家级支撑单位，提供有效证明材料并加盖厂商公章。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15、★所投产品的生产厂商的软件研发实力具备CMMI L5认证，提供有效证明材料</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16、★要求所投产品的生产厂商参与制定《信息安全技术 第二代防火墙安全技术 要求》，提供有效证明材料并加盖厂商公章。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17、投标厂商防火墙近三年至少一年入围统一威胁管理硬件市场份额前三（提供第三方证明材料）；</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所采设备必须包含3年免费上门维护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防火墙</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1、★1U设备，不少于6个千兆电口，4个千兆光口，吞吐量不低于6Gbps，包含3年软硬件维保服务；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2、支持路由、透明、虚拟网线、旁路镜像、混合等多种部署方式，适应复杂使用环境的接入要求；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3、★具备链路故障检测功能，通过ARP、DNS、PING协议等方式检测目标主机的可达性，确认接口链路是否有效，并可自定义检测频率。（需提供产品功能截图证明）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4、★支持基于IP地址、端口、地域、协议、应用等维度配置策略路由策略，支持多种负载均衡算法，包括加权、带宽比例、轮询、线路排序等。（需提供产品功能截图证明）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5、IPSec VPN支持智能选路功能，保障业务的高可靠性。（需提供产品功能截图证明）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6、产品内置应用特征识别库，支持不少于10000种应用规则，支持对游戏、P2P下载工具、聊天工具、网上银行、视频软件、股票软件、木马控制软件等类型应用进行检测与控制。（需提供产品功能截图证明）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7、★具备基于国家/地区的流量管理功能，提供具备CNAS（中国合格评定国家认可委员会）资质的第三方权威机构关于“国家/地区的流量管理”产品功能检测报告。</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8、支持基于区域和IP地址配置连接控制策略，对特定IP地址设置最大并发连接数，实现内部资源保护和系统资源合理分配。</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9、支持对HTTP、HTTPS、FTP、SMB、SMTP、POP3、IMAP协议进行病毒检测和查杀，支持最大16层的压缩文件查杀。（需提供产品功能截图证明）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10、★具备勒索软件通信防护功能，提供具备CNAS（中国合格评定国家认可委员会）资质的第三方权威机构关于“勒索软件通信防护”产品功能检测报告。</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11、产品内置IPS检测引擎，支持口令暴力破解、僵尸网络、恶意软件、服务器与终端漏洞攻击等检测和防护，支持超过7000种特征规则。（需提供产品功能截图证明）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12、支持应用控制策略生命周期管理，包含安全策略的变更时间、变更类型和策略变更用户，并对变更内容记录日志，方便策略的管理和运维。（需提供产品功能截图证明）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13、★所投产品厂商是微软安全响应中心（Microsoft Security Response Center）发起的MAPP（Microsoft Active Protection Program）计划成员，可在微软发布每月安全公告之前获得微软产品的详细漏洞信息，为用户提供更及时的安全防护；（提供证明材料并加盖厂商公章）。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14、★所投产品的生产厂商应是第八届国家互联网应急响应中心网络安全应急服务国家级支撑单位，提供有效证明材料并加盖厂商公章。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15、★所投产品的生产厂商的软件研发实力具备CMMI L5认证，提供有效证明材料</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16、★要求所投产品的生产厂商参与制定《信息安全技术 第二代防火墙安全技术 要求》，提供有效证明材料并加盖厂商公章。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17、投标厂商防火墙近三年至少一年入围统一威胁管理硬件市场份额前三（提供第三方证明材料）；</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所采设备必须包含3年免费上门维护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杀毒软件</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1、★至少包含30点PC端授权以及6个点服务器端授权（Windows），可与行为管理、防火墙等产品联动。产品是软件形态，包含管理平台和终端Agent软件，含：3年软件升级和授权；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2、支持跳转链接至云端安全威胁响应系统，针对已发生的病毒的基本信息，影响分析（客户情况、影响行业、区域分布）、威胁分析和处理建议（需提供产品截图证明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4、★基于勒索病毒攻击过程，建立多维度立体防护机制，提供事前入侵防御-事中反加密-事后检测响应的完整防护体系，展示勒索病毒处置情况，对勒索病毒及变种实现专门有效防御；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5、★支持用户直接对勒索病毒的家族名、病毒名、加密文件后缀名执行链接查询，可通过直接上传加密文件的方式确定勒索病毒类型，如果能解密可以提供必要的解密工具（需提供产品截图证明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6、支持与同厂商的安全感知平台进行安全联动，支持管理员在安全感知平台管理界面下发快速查杀任务，并查看任务状态、结果并进行处置（需提供证明并加盖原厂商公章）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7、支持将终端安全软件客户端检测出来的恶意文件事件、暴力破解事件、微隔离事件的日志上报到同厂商安全态势感知平台，安全态势感知平台进行分析和展示（需提供证明并加盖原厂商公章）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8、支持与同厂商的网络防火墙进行安全联动，管理员可以在网络防火墙管理界面下发快速查杀任务，并查看任务状态、结果并进行处置，支持在管理平台查询和统计联动信息（需提供证明并加盖原厂商公章）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9、支持与同厂商的网络防火墙进行情报共享，提供C&amp;C通信检测，对僵尸网络实现联合举证溯源（需提供证明并加盖原厂商公章）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10、支持管理员在同厂商的安全感知平台管理界面下发一键隔离指令，对终端所有连接进行阻断，防止病毒进一步扩散；</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11、★所投设备厂商具备CMMI L5认证证书（需提供证明并加盖原厂商公章）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12、★所投设备厂商具备网络安全应急服务支撑单位证书（国家级）；（需提供证明并加盖原厂商公章）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13、★提供终端安全产品获得的赛可达实验室“东方之星”证书；</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14、提供终端安全产品自研驱动通过微软WHQL徽标认证（Microsoft Windows Hardware Quality Lab），并提供官网查询链接；</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15、★中标后三个工作日内，提供平台进行上述功能要求的逐一测试验证，全部通过后才能执行合同流程，测试中发现虚假应标的行为将予以废标处理并保留对该厂商追究相关责任的权利。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所采设备必须包含3年免费上门维护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核心交换机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(24个10/100/1000BASE-T以太网端口,4个千兆SFP,含1个60W交流电源)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所采设备必须包含3年免费上门维护</w:t>
            </w:r>
          </w:p>
        </w:tc>
      </w:tr>
    </w:tbl>
    <w:p>
      <w:pPr>
        <w:pStyle w:val="7"/>
        <w:widowControl/>
        <w:spacing w:beforeAutospacing="0" w:afterAutospacing="0" w:line="360" w:lineRule="auto"/>
        <w:ind w:firstLine="560" w:firstLineChars="200"/>
        <w:rPr>
          <w:rFonts w:hint="eastAsia" w:cs="仿宋_GB2312" w:asciiTheme="minorEastAsia" w:hAnsiTheme="minorEastAsia"/>
          <w:sz w:val="28"/>
          <w:szCs w:val="28"/>
          <w:lang w:eastAsia="zh-CN"/>
        </w:rPr>
      </w:pPr>
    </w:p>
    <w:p>
      <w:pPr>
        <w:pStyle w:val="7"/>
        <w:widowControl/>
        <w:spacing w:beforeAutospacing="0" w:afterAutospacing="0" w:line="360" w:lineRule="auto"/>
        <w:ind w:firstLine="546" w:firstLineChars="200"/>
        <w:rPr>
          <w:rFonts w:hint="eastAsia" w:asciiTheme="minorEastAsia" w:hAnsiTheme="minorEastAsia" w:cstheme="majorEastAsia"/>
          <w:b/>
          <w:color w:val="333333"/>
          <w:spacing w:val="-4"/>
          <w:sz w:val="28"/>
          <w:szCs w:val="28"/>
          <w:shd w:val="clear" w:color="auto" w:fill="FFFFFF"/>
        </w:rPr>
      </w:pPr>
    </w:p>
    <w:p>
      <w:pPr>
        <w:widowControl/>
        <w:jc w:val="left"/>
        <w:rPr>
          <w:rFonts w:cs="仿宋_GB2312" w:asciiTheme="minorEastAsia" w:hAnsiTheme="minorEastAsia"/>
          <w:color w:val="333333"/>
          <w:spacing w:val="-4"/>
          <w:kern w:val="0"/>
          <w:sz w:val="28"/>
          <w:szCs w:val="28"/>
          <w:shd w:val="clear" w:color="auto" w:fill="FFFFFF"/>
        </w:rPr>
      </w:pPr>
      <w:r>
        <w:rPr>
          <w:rFonts w:cs="仿宋_GB2312" w:asciiTheme="minorEastAsia" w:hAnsiTheme="minorEastAsia"/>
          <w:color w:val="333333"/>
          <w:spacing w:val="-4"/>
          <w:sz w:val="28"/>
          <w:szCs w:val="28"/>
          <w:shd w:val="clear" w:color="auto" w:fill="FFFFFF"/>
        </w:rPr>
        <w:br w:type="page"/>
      </w:r>
    </w:p>
    <w:p>
      <w:pPr>
        <w:pStyle w:val="7"/>
        <w:widowControl/>
        <w:spacing w:beforeAutospacing="0" w:afterAutospacing="0"/>
        <w:jc w:val="right"/>
        <w:rPr>
          <w:rFonts w:asciiTheme="minorEastAsia" w:hAnsiTheme="minorEastAsia"/>
          <w:sz w:val="28"/>
          <w:szCs w:val="28"/>
        </w:rPr>
      </w:pPr>
    </w:p>
    <w:p>
      <w:pPr>
        <w:pStyle w:val="3"/>
        <w:jc w:val="center"/>
        <w:rPr>
          <w:rFonts w:ascii="宋体" w:hAnsi="宋体" w:eastAsia="宋体"/>
          <w:sz w:val="24"/>
          <w:szCs w:val="24"/>
        </w:rPr>
      </w:pPr>
      <w:bookmarkStart w:id="0" w:name="_Toc445296240"/>
      <w:bookmarkStart w:id="1" w:name="_Toc275889759"/>
      <w:bookmarkStart w:id="2" w:name="_Toc276300667"/>
      <w:r>
        <w:rPr>
          <w:rFonts w:hint="eastAsia" w:ascii="宋体" w:hAnsi="宋体" w:eastAsia="宋体"/>
          <w:sz w:val="24"/>
          <w:szCs w:val="24"/>
        </w:rPr>
        <w:t>附件一：法定代表人身份证明书</w:t>
      </w:r>
      <w:bookmarkEnd w:id="0"/>
      <w:bookmarkEnd w:id="1"/>
      <w:bookmarkEnd w:id="2"/>
    </w:p>
    <w:p>
      <w:pPr>
        <w:jc w:val="center"/>
        <w:rPr>
          <w:rFonts w:ascii="宋体"/>
          <w:b/>
          <w:bCs/>
          <w:sz w:val="44"/>
          <w:szCs w:val="44"/>
        </w:rPr>
      </w:pPr>
      <w:r>
        <w:rPr>
          <w:rFonts w:hint="eastAsia" w:ascii="宋体" w:hAnsi="宋体"/>
          <w:b/>
          <w:bCs/>
          <w:sz w:val="44"/>
          <w:szCs w:val="44"/>
        </w:rPr>
        <w:t>法定代表人身份证明书</w:t>
      </w:r>
    </w:p>
    <w:p>
      <w:pPr>
        <w:spacing w:line="400" w:lineRule="exact"/>
        <w:jc w:val="center"/>
        <w:rPr>
          <w:rFonts w:ascii="宋体"/>
          <w:b/>
          <w:bCs/>
          <w:sz w:val="24"/>
        </w:rPr>
      </w:pPr>
    </w:p>
    <w:p>
      <w:pPr>
        <w:spacing w:before="60" w:after="60" w:line="400" w:lineRule="exact"/>
        <w:ind w:firstLine="510"/>
        <w:rPr>
          <w:rFonts w:ascii="宋体"/>
          <w:sz w:val="24"/>
        </w:rPr>
      </w:pPr>
      <w:r>
        <w:rPr>
          <w:rFonts w:hint="eastAsia" w:ascii="宋体" w:hAnsi="宋体"/>
          <w:b/>
          <w:bCs/>
          <w:sz w:val="24"/>
        </w:rPr>
        <w:t>致：</w:t>
      </w:r>
      <w:r>
        <w:rPr>
          <w:rFonts w:hint="eastAsia" w:ascii="宋体" w:hAnsi="宋体"/>
          <w:b/>
          <w:bCs/>
          <w:sz w:val="24"/>
          <w:lang w:eastAsia="zh-CN"/>
        </w:rPr>
        <w:t>昆明市晋宁区国有资本运营有限公司</w:t>
      </w:r>
    </w:p>
    <w:p>
      <w:pPr>
        <w:spacing w:line="400" w:lineRule="exact"/>
        <w:ind w:firstLine="480" w:firstLineChars="200"/>
        <w:rPr>
          <w:rFonts w:ascii="宋体"/>
          <w:bCs/>
          <w:sz w:val="24"/>
        </w:rPr>
      </w:pPr>
      <w:r>
        <w:rPr>
          <w:rFonts w:ascii="宋体" w:hAnsi="宋体"/>
          <w:bCs/>
          <w:sz w:val="24"/>
        </w:rPr>
        <w:t xml:space="preserve">   </w:t>
      </w:r>
      <w:r>
        <w:rPr>
          <w:rFonts w:hint="eastAsia" w:ascii="宋体" w:hAnsi="宋体"/>
          <w:bCs/>
          <w:sz w:val="24"/>
        </w:rPr>
        <w:t>兹证明我单位</w:t>
      </w:r>
      <w:r>
        <w:rPr>
          <w:rFonts w:ascii="宋体" w:hAnsi="宋体"/>
          <w:bCs/>
          <w:sz w:val="24"/>
        </w:rPr>
        <w:t>____________</w:t>
      </w:r>
      <w:r>
        <w:rPr>
          <w:rFonts w:hint="eastAsia" w:ascii="宋体" w:hAnsi="宋体"/>
          <w:bCs/>
          <w:sz w:val="24"/>
        </w:rPr>
        <w:t>（身份证号码：</w:t>
      </w:r>
      <w:r>
        <w:rPr>
          <w:rFonts w:ascii="宋体" w:hAnsi="宋体"/>
          <w:bCs/>
          <w:sz w:val="24"/>
        </w:rPr>
        <w:t xml:space="preserve">                          </w:t>
      </w:r>
      <w:r>
        <w:rPr>
          <w:rFonts w:hint="eastAsia" w:ascii="宋体" w:hAnsi="宋体"/>
          <w:bCs/>
          <w:sz w:val="24"/>
        </w:rPr>
        <w:t>），在我单位担任职务，系本单位法定代表人，特此证明。</w:t>
      </w:r>
    </w:p>
    <w:p>
      <w:pPr>
        <w:spacing w:line="400" w:lineRule="exact"/>
        <w:ind w:firstLine="480" w:firstLineChars="200"/>
        <w:rPr>
          <w:rFonts w:ascii="宋体"/>
          <w:bCs/>
          <w:sz w:val="24"/>
        </w:rPr>
      </w:pPr>
      <w:r>
        <w:rPr>
          <w:rFonts w:ascii="宋体"/>
          <w:bCs/>
          <w:sz w:val="24"/>
        </w:rPr>
        <w:t> </w:t>
      </w:r>
    </w:p>
    <w:p>
      <w:pPr>
        <w:spacing w:line="400" w:lineRule="exact"/>
        <w:ind w:firstLine="480" w:firstLineChars="200"/>
        <w:rPr>
          <w:rFonts w:ascii="宋体"/>
          <w:bCs/>
          <w:sz w:val="24"/>
        </w:rPr>
      </w:pPr>
      <w:r>
        <w:rPr>
          <w:rFonts w:ascii="宋体" w:hAnsi="宋体"/>
          <w:bCs/>
          <w:sz w:val="24"/>
        </w:rPr>
        <w:t xml:space="preserve">                   </w:t>
      </w:r>
      <w:r>
        <w:rPr>
          <w:rFonts w:hint="eastAsia" w:ascii="宋体" w:hAnsi="宋体"/>
          <w:bCs/>
          <w:sz w:val="24"/>
        </w:rPr>
        <w:t>单位全称：</w:t>
      </w:r>
      <w:r>
        <w:rPr>
          <w:rFonts w:ascii="宋体" w:hAnsi="宋体"/>
          <w:bCs/>
          <w:sz w:val="24"/>
        </w:rPr>
        <w:t xml:space="preserve">                       </w:t>
      </w:r>
    </w:p>
    <w:p>
      <w:pPr>
        <w:spacing w:line="400" w:lineRule="exact"/>
        <w:ind w:firstLine="480" w:firstLineChars="200"/>
        <w:rPr>
          <w:rFonts w:ascii="宋体"/>
          <w:bCs/>
          <w:sz w:val="24"/>
        </w:rPr>
      </w:pPr>
      <w:r>
        <w:rPr>
          <w:rFonts w:ascii="宋体"/>
          <w:bCs/>
          <w:sz w:val="24"/>
        </w:rPr>
        <w:t> </w:t>
      </w:r>
    </w:p>
    <w:p>
      <w:pPr>
        <w:spacing w:line="400" w:lineRule="exact"/>
        <w:ind w:firstLine="480" w:firstLineChars="200"/>
        <w:rPr>
          <w:rFonts w:ascii="宋体"/>
          <w:bCs/>
          <w:sz w:val="24"/>
        </w:rPr>
      </w:pPr>
      <w:r>
        <w:rPr>
          <w:rFonts w:ascii="宋体" w:hAnsi="宋体"/>
          <w:bCs/>
          <w:sz w:val="24"/>
        </w:rPr>
        <w:t xml:space="preserve">                                         </w:t>
      </w:r>
      <w:r>
        <w:rPr>
          <w:rFonts w:ascii="宋体" w:hAnsi="宋体"/>
          <w:bCs/>
          <w:sz w:val="24"/>
          <w:u w:val="single"/>
        </w:rPr>
        <w:t xml:space="preserve">   </w:t>
      </w:r>
      <w:r>
        <w:rPr>
          <w:rFonts w:ascii="宋体" w:hAnsi="宋体"/>
          <w:bCs/>
          <w:sz w:val="24"/>
        </w:rPr>
        <w:t xml:space="preserve"> </w:t>
      </w:r>
      <w:r>
        <w:rPr>
          <w:rFonts w:hint="eastAsia" w:ascii="宋体" w:hAnsi="宋体"/>
          <w:bCs/>
          <w:sz w:val="24"/>
        </w:rPr>
        <w:t>年</w:t>
      </w:r>
      <w:r>
        <w:rPr>
          <w:rFonts w:ascii="宋体" w:hAnsi="宋体"/>
          <w:bCs/>
          <w:sz w:val="24"/>
        </w:rPr>
        <w:t>___</w:t>
      </w:r>
      <w:r>
        <w:rPr>
          <w:rFonts w:hint="eastAsia" w:ascii="宋体" w:hAnsi="宋体"/>
          <w:bCs/>
          <w:sz w:val="24"/>
        </w:rPr>
        <w:t>月</w:t>
      </w:r>
      <w:r>
        <w:rPr>
          <w:rFonts w:ascii="宋体" w:hAnsi="宋体"/>
          <w:bCs/>
          <w:sz w:val="24"/>
        </w:rPr>
        <w:t>___</w:t>
      </w:r>
      <w:r>
        <w:rPr>
          <w:rFonts w:hint="eastAsia" w:ascii="宋体" w:hAnsi="宋体"/>
          <w:bCs/>
          <w:sz w:val="24"/>
        </w:rPr>
        <w:t>日</w:t>
      </w:r>
    </w:p>
    <w:p>
      <w:pPr>
        <w:spacing w:line="400" w:lineRule="exact"/>
        <w:ind w:firstLine="480" w:firstLineChars="200"/>
        <w:rPr>
          <w:rFonts w:ascii="宋体"/>
          <w:bCs/>
          <w:sz w:val="24"/>
        </w:rPr>
      </w:pPr>
      <w:r>
        <w:rPr>
          <w:rFonts w:ascii="宋体"/>
          <w:bCs/>
          <w:sz w:val="24"/>
        </w:rPr>
        <w:t> </w:t>
      </w:r>
    </w:p>
    <w:p>
      <w:pPr>
        <w:spacing w:line="400" w:lineRule="exact"/>
        <w:ind w:firstLine="480" w:firstLineChars="200"/>
        <w:rPr>
          <w:rFonts w:ascii="宋体"/>
          <w:bCs/>
          <w:sz w:val="24"/>
        </w:rPr>
      </w:pPr>
    </w:p>
    <w:p>
      <w:pPr>
        <w:spacing w:line="400" w:lineRule="exact"/>
        <w:ind w:firstLine="480" w:firstLineChars="200"/>
        <w:rPr>
          <w:rFonts w:ascii="宋体"/>
          <w:bCs/>
          <w:sz w:val="24"/>
        </w:rPr>
      </w:pPr>
    </w:p>
    <w:p>
      <w:pPr>
        <w:spacing w:line="400" w:lineRule="exact"/>
        <w:ind w:firstLine="480" w:firstLineChars="200"/>
        <w:rPr>
          <w:rFonts w:ascii="宋体"/>
          <w:bCs/>
          <w:sz w:val="24"/>
        </w:rPr>
      </w:pPr>
      <w:bookmarkStart w:id="9" w:name="_GoBack"/>
      <w:bookmarkEnd w:id="9"/>
      <w:r>
        <w:rPr>
          <w:rFonts w:ascii="宋体"/>
          <w:bCs/>
          <w:sz w:val="24"/>
        </w:rPr>
        <w:t> </w:t>
      </w:r>
    </w:p>
    <w:p>
      <w:pPr>
        <w:spacing w:line="400" w:lineRule="exact"/>
        <w:ind w:firstLine="480" w:firstLineChars="200"/>
        <w:rPr>
          <w:rFonts w:ascii="宋体"/>
          <w:bCs/>
          <w:sz w:val="24"/>
        </w:rPr>
      </w:pPr>
      <w:r>
        <w:rPr>
          <w:rFonts w:ascii="宋体"/>
          <w:bCs/>
          <w:sz w:val="24"/>
        </w:rPr>
        <w:t> </w:t>
      </w:r>
    </w:p>
    <w:p>
      <w:pPr>
        <w:spacing w:line="400" w:lineRule="exact"/>
        <w:ind w:firstLine="480" w:firstLineChars="200"/>
        <w:rPr>
          <w:rFonts w:ascii="宋体"/>
          <w:bCs/>
          <w:sz w:val="24"/>
        </w:rPr>
      </w:pPr>
    </w:p>
    <w:p>
      <w:pPr>
        <w:spacing w:line="400" w:lineRule="exact"/>
        <w:ind w:firstLine="482" w:firstLineChars="200"/>
        <w:rPr>
          <w:rFonts w:ascii="宋体"/>
          <w:b/>
          <w:bCs/>
          <w:sz w:val="24"/>
        </w:rPr>
      </w:pPr>
      <w:r>
        <w:rPr>
          <w:rFonts w:ascii="宋体"/>
          <w:b/>
          <w:sz w:val="24"/>
        </w:rPr>
        <w:t> </w:t>
      </w:r>
      <w:r>
        <w:rPr>
          <w:rFonts w:hint="eastAsia" w:ascii="宋体" w:hAnsi="宋体"/>
          <w:b/>
          <w:sz w:val="24"/>
        </w:rPr>
        <w:t>注：须附上</w:t>
      </w:r>
      <w:r>
        <w:rPr>
          <w:rFonts w:hint="eastAsia" w:ascii="宋体" w:hAnsi="宋体"/>
          <w:b/>
          <w:bCs/>
          <w:sz w:val="24"/>
        </w:rPr>
        <w:t>法定代表人身份证复印件</w:t>
      </w: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spacing w:before="60" w:after="60"/>
        <w:ind w:firstLine="510"/>
        <w:rPr>
          <w:rFonts w:ascii="宋体"/>
          <w:sz w:val="24"/>
        </w:rPr>
      </w:pPr>
    </w:p>
    <w:p>
      <w:pPr>
        <w:pStyle w:val="3"/>
        <w:jc w:val="center"/>
        <w:rPr>
          <w:rFonts w:ascii="宋体" w:hAnsi="宋体" w:eastAsia="宋体"/>
          <w:sz w:val="24"/>
          <w:szCs w:val="24"/>
        </w:rPr>
      </w:pPr>
      <w:bookmarkStart w:id="3" w:name="_Toc276300668"/>
      <w:bookmarkStart w:id="4" w:name="_Toc275889760"/>
      <w:bookmarkStart w:id="5" w:name="_Toc445296241"/>
      <w:r>
        <w:rPr>
          <w:rFonts w:hint="eastAsia" w:ascii="宋体" w:hAnsi="宋体" w:eastAsia="宋体"/>
          <w:sz w:val="24"/>
          <w:szCs w:val="24"/>
        </w:rPr>
        <w:t>附件二：法定代表人授权书</w:t>
      </w:r>
      <w:bookmarkEnd w:id="3"/>
      <w:bookmarkEnd w:id="4"/>
      <w:bookmarkEnd w:id="5"/>
    </w:p>
    <w:p>
      <w:pPr>
        <w:rPr>
          <w:rFonts w:ascii="宋体"/>
        </w:rPr>
      </w:pPr>
      <w:r>
        <w:rPr>
          <w:rFonts w:ascii="宋体"/>
        </w:rPr>
        <w:t> </w:t>
      </w:r>
    </w:p>
    <w:p>
      <w:pPr>
        <w:jc w:val="center"/>
        <w:rPr>
          <w:rFonts w:ascii="宋体"/>
          <w:b/>
          <w:bCs/>
          <w:sz w:val="44"/>
          <w:szCs w:val="44"/>
        </w:rPr>
      </w:pPr>
      <w:r>
        <w:rPr>
          <w:rFonts w:hint="eastAsia" w:ascii="宋体" w:hAnsi="宋体"/>
          <w:b/>
          <w:bCs/>
          <w:sz w:val="44"/>
          <w:szCs w:val="44"/>
        </w:rPr>
        <w:t>法定代表人授权书</w:t>
      </w:r>
    </w:p>
    <w:p>
      <w:pPr>
        <w:spacing w:line="400" w:lineRule="exact"/>
        <w:jc w:val="center"/>
        <w:rPr>
          <w:rFonts w:ascii="宋体"/>
          <w:b/>
          <w:bCs/>
          <w:sz w:val="24"/>
        </w:rPr>
      </w:pPr>
      <w:r>
        <w:rPr>
          <w:rFonts w:ascii="宋体"/>
          <w:b/>
          <w:bCs/>
          <w:sz w:val="24"/>
        </w:rPr>
        <w:t> </w:t>
      </w:r>
    </w:p>
    <w:p>
      <w:pPr>
        <w:spacing w:line="500" w:lineRule="exact"/>
        <w:ind w:firstLine="480" w:firstLineChars="200"/>
        <w:rPr>
          <w:rFonts w:hint="eastAsia" w:ascii="宋体" w:eastAsiaTheme="minorEastAsia"/>
          <w:bCs/>
          <w:sz w:val="24"/>
          <w:lang w:eastAsia="zh-CN"/>
        </w:rPr>
      </w:pPr>
      <w:r>
        <w:rPr>
          <w:rFonts w:hint="eastAsia" w:ascii="宋体" w:hAnsi="宋体"/>
          <w:bCs/>
          <w:sz w:val="24"/>
        </w:rPr>
        <w:t>致：</w:t>
      </w:r>
      <w:r>
        <w:rPr>
          <w:rFonts w:hint="eastAsia" w:ascii="宋体" w:hAnsi="宋体"/>
          <w:b/>
          <w:bCs/>
          <w:sz w:val="24"/>
          <w:lang w:eastAsia="zh-CN"/>
        </w:rPr>
        <w:t>昆明市晋宁区国有资本运营有限公司</w:t>
      </w:r>
    </w:p>
    <w:p>
      <w:pPr>
        <w:spacing w:line="500" w:lineRule="exact"/>
        <w:ind w:firstLine="480" w:firstLineChars="200"/>
        <w:rPr>
          <w:rFonts w:ascii="宋体"/>
          <w:bCs/>
          <w:sz w:val="24"/>
        </w:rPr>
      </w:pPr>
      <w:r>
        <w:rPr>
          <w:rFonts w:hint="eastAsia" w:ascii="宋体" w:hAnsi="宋体"/>
          <w:bCs/>
          <w:sz w:val="24"/>
          <w:u w:val="single"/>
        </w:rPr>
        <w:t>（报价供应商全称）</w:t>
      </w:r>
      <w:r>
        <w:rPr>
          <w:rFonts w:hint="eastAsia" w:ascii="宋体" w:hAnsi="宋体"/>
          <w:bCs/>
          <w:sz w:val="24"/>
        </w:rPr>
        <w:t>法定代表人授权（全权代表姓名）为全权代表，参加贵单位组织的</w:t>
      </w:r>
      <w:r>
        <w:rPr>
          <w:rFonts w:ascii="宋体" w:hAnsi="宋体"/>
          <w:bCs/>
          <w:sz w:val="24"/>
          <w:u w:val="single"/>
        </w:rPr>
        <w:t xml:space="preserve">    </w:t>
      </w:r>
      <w:r>
        <w:rPr>
          <w:rFonts w:hint="eastAsia" w:cs="仿宋_GB2312" w:asciiTheme="minorEastAsia" w:hAnsiTheme="minorEastAsia"/>
          <w:sz w:val="24"/>
          <w:u w:val="single"/>
        </w:rPr>
        <w:t>昆明市晋宁区国有资本运营有限公司官方网站</w:t>
      </w:r>
      <w:r>
        <w:rPr>
          <w:rFonts w:hint="eastAsia" w:cs="仿宋_GB2312" w:asciiTheme="minorEastAsia" w:hAnsiTheme="minorEastAsia"/>
          <w:sz w:val="24"/>
        </w:rPr>
        <w:t>询价比选会</w:t>
      </w:r>
      <w:r>
        <w:rPr>
          <w:rFonts w:ascii="宋体" w:hAnsi="宋体"/>
          <w:bCs/>
          <w:sz w:val="24"/>
        </w:rPr>
        <w:t xml:space="preserve"> </w:t>
      </w:r>
      <w:r>
        <w:rPr>
          <w:rFonts w:hint="eastAsia" w:ascii="宋体" w:hAnsi="宋体"/>
          <w:bCs/>
          <w:sz w:val="24"/>
        </w:rPr>
        <w:t>，全权处理本次询价比选活动中的一切事宜，并由我单位承担由其行为所造成的一切结果和法律后果。</w:t>
      </w:r>
    </w:p>
    <w:p>
      <w:pPr>
        <w:spacing w:line="500" w:lineRule="exact"/>
        <w:ind w:firstLine="480" w:firstLineChars="200"/>
        <w:rPr>
          <w:rFonts w:ascii="宋体"/>
          <w:bCs/>
          <w:sz w:val="24"/>
        </w:rPr>
      </w:pPr>
      <w:r>
        <w:rPr>
          <w:rFonts w:ascii="宋体"/>
          <w:bCs/>
          <w:sz w:val="24"/>
        </w:rPr>
        <w:t> </w:t>
      </w:r>
    </w:p>
    <w:p>
      <w:pPr>
        <w:spacing w:line="500" w:lineRule="exact"/>
        <w:ind w:firstLine="480" w:firstLineChars="200"/>
        <w:rPr>
          <w:rFonts w:ascii="宋体"/>
          <w:bCs/>
          <w:sz w:val="24"/>
        </w:rPr>
      </w:pPr>
      <w:r>
        <w:rPr>
          <w:rFonts w:hint="eastAsia" w:ascii="宋体" w:hAnsi="宋体"/>
          <w:bCs/>
          <w:sz w:val="24"/>
        </w:rPr>
        <w:t>法定代表人签字：</w:t>
      </w:r>
    </w:p>
    <w:p>
      <w:pPr>
        <w:spacing w:line="500" w:lineRule="exact"/>
        <w:ind w:firstLine="480" w:firstLineChars="200"/>
        <w:rPr>
          <w:rFonts w:ascii="宋体"/>
          <w:bCs/>
          <w:sz w:val="24"/>
        </w:rPr>
      </w:pPr>
      <w:r>
        <w:rPr>
          <w:rFonts w:hint="eastAsia" w:ascii="宋体" w:hAnsi="宋体"/>
          <w:bCs/>
          <w:sz w:val="24"/>
        </w:rPr>
        <w:t>报价供应商全称（公章）：</w:t>
      </w:r>
    </w:p>
    <w:p>
      <w:pPr>
        <w:spacing w:line="500" w:lineRule="exact"/>
        <w:ind w:firstLine="480" w:firstLineChars="200"/>
        <w:rPr>
          <w:rFonts w:ascii="宋体"/>
          <w:bCs/>
          <w:sz w:val="24"/>
        </w:rPr>
      </w:pPr>
      <w:r>
        <w:rPr>
          <w:rFonts w:hint="eastAsia" w:ascii="宋体" w:hAnsi="宋体"/>
          <w:bCs/>
          <w:sz w:val="24"/>
        </w:rPr>
        <w:t>日</w:t>
      </w:r>
      <w:r>
        <w:rPr>
          <w:rFonts w:ascii="宋体" w:hAnsi="宋体"/>
          <w:bCs/>
          <w:sz w:val="24"/>
        </w:rPr>
        <w:t xml:space="preserve">  </w:t>
      </w:r>
      <w:r>
        <w:rPr>
          <w:rFonts w:hint="eastAsia" w:ascii="宋体" w:hAnsi="宋体"/>
          <w:bCs/>
          <w:sz w:val="24"/>
        </w:rPr>
        <w:t>期：</w:t>
      </w:r>
    </w:p>
    <w:p>
      <w:pPr>
        <w:spacing w:line="500" w:lineRule="exact"/>
        <w:ind w:firstLine="480" w:firstLineChars="200"/>
        <w:rPr>
          <w:rFonts w:ascii="宋体"/>
          <w:bCs/>
          <w:sz w:val="24"/>
        </w:rPr>
      </w:pPr>
      <w:r>
        <w:rPr>
          <w:rFonts w:hint="eastAsia" w:ascii="宋体" w:hAnsi="宋体"/>
          <w:bCs/>
          <w:sz w:val="24"/>
        </w:rPr>
        <w:t>全权代表姓名：</w:t>
      </w:r>
    </w:p>
    <w:p>
      <w:pPr>
        <w:spacing w:line="500" w:lineRule="exact"/>
        <w:ind w:firstLine="480" w:firstLineChars="200"/>
        <w:rPr>
          <w:rFonts w:ascii="宋体"/>
          <w:bCs/>
          <w:sz w:val="24"/>
        </w:rPr>
      </w:pPr>
      <w:r>
        <w:rPr>
          <w:rFonts w:hint="eastAsia" w:ascii="宋体" w:hAnsi="宋体"/>
          <w:bCs/>
          <w:sz w:val="24"/>
        </w:rPr>
        <w:t>职务：</w:t>
      </w:r>
    </w:p>
    <w:p>
      <w:pPr>
        <w:spacing w:line="500" w:lineRule="exact"/>
        <w:ind w:firstLine="480" w:firstLineChars="200"/>
        <w:rPr>
          <w:rFonts w:ascii="宋体"/>
          <w:bCs/>
          <w:sz w:val="24"/>
        </w:rPr>
      </w:pPr>
      <w:r>
        <w:rPr>
          <w:rFonts w:hint="eastAsia" w:ascii="宋体" w:hAnsi="宋体"/>
          <w:bCs/>
          <w:sz w:val="24"/>
        </w:rPr>
        <w:t>详细通讯地址：</w:t>
      </w:r>
    </w:p>
    <w:p>
      <w:pPr>
        <w:spacing w:line="500" w:lineRule="exact"/>
        <w:ind w:firstLine="480" w:firstLineChars="200"/>
        <w:rPr>
          <w:rFonts w:ascii="宋体"/>
          <w:bCs/>
          <w:sz w:val="24"/>
        </w:rPr>
      </w:pPr>
      <w:r>
        <w:rPr>
          <w:rFonts w:hint="eastAsia" w:ascii="宋体" w:hAnsi="宋体"/>
          <w:bCs/>
          <w:sz w:val="24"/>
        </w:rPr>
        <w:t>邮政编码：</w:t>
      </w:r>
    </w:p>
    <w:p>
      <w:pPr>
        <w:spacing w:line="500" w:lineRule="exact"/>
        <w:ind w:firstLine="480" w:firstLineChars="200"/>
        <w:rPr>
          <w:rFonts w:ascii="宋体"/>
          <w:bCs/>
          <w:sz w:val="24"/>
        </w:rPr>
      </w:pPr>
      <w:r>
        <w:rPr>
          <w:rFonts w:hint="eastAsia" w:ascii="宋体" w:hAnsi="宋体"/>
          <w:bCs/>
          <w:sz w:val="24"/>
        </w:rPr>
        <w:t>传真：</w:t>
      </w:r>
    </w:p>
    <w:p>
      <w:pPr>
        <w:spacing w:line="500" w:lineRule="exact"/>
        <w:ind w:firstLine="480" w:firstLineChars="200"/>
        <w:rPr>
          <w:rFonts w:ascii="宋体"/>
          <w:bCs/>
          <w:sz w:val="24"/>
        </w:rPr>
      </w:pPr>
      <w:r>
        <w:rPr>
          <w:rFonts w:hint="eastAsia" w:ascii="宋体" w:hAnsi="宋体"/>
          <w:bCs/>
          <w:sz w:val="24"/>
        </w:rPr>
        <w:t>电话：</w:t>
      </w:r>
    </w:p>
    <w:p>
      <w:pPr>
        <w:spacing w:line="500" w:lineRule="exact"/>
        <w:ind w:firstLine="480" w:firstLineChars="200"/>
        <w:rPr>
          <w:rFonts w:ascii="宋体"/>
          <w:b/>
          <w:sz w:val="24"/>
        </w:rPr>
      </w:pPr>
      <w:r>
        <w:rPr>
          <w:rFonts w:ascii="宋体"/>
          <w:bCs/>
          <w:sz w:val="24"/>
        </w:rPr>
        <w:t> </w:t>
      </w:r>
    </w:p>
    <w:p>
      <w:pPr>
        <w:spacing w:line="500" w:lineRule="exact"/>
        <w:rPr>
          <w:rFonts w:ascii="宋体"/>
          <w:b/>
          <w:bCs/>
          <w:sz w:val="24"/>
        </w:rPr>
      </w:pPr>
      <w:r>
        <w:rPr>
          <w:rFonts w:hint="eastAsia" w:ascii="宋体" w:hAnsi="宋体"/>
          <w:b/>
          <w:bCs/>
          <w:sz w:val="24"/>
        </w:rPr>
        <w:t>注：须附上全权代表人的身份证复印件</w:t>
      </w:r>
    </w:p>
    <w:p>
      <w:pPr>
        <w:spacing w:line="500" w:lineRule="exact"/>
        <w:rPr>
          <w:rFonts w:ascii="宋体"/>
        </w:rPr>
      </w:pPr>
    </w:p>
    <w:p>
      <w:pPr>
        <w:spacing w:line="500" w:lineRule="exact"/>
        <w:rPr>
          <w:rFonts w:ascii="宋体"/>
        </w:rPr>
      </w:pPr>
      <w:r>
        <w:rPr>
          <w:rFonts w:ascii="宋体"/>
        </w:rPr>
        <w:t> </w:t>
      </w:r>
    </w:p>
    <w:p>
      <w:pPr>
        <w:rPr>
          <w:rFonts w:ascii="宋体"/>
        </w:rPr>
      </w:pPr>
      <w:r>
        <w:rPr>
          <w:rFonts w:ascii="宋体"/>
        </w:rPr>
        <w:t> </w:t>
      </w:r>
    </w:p>
    <w:p>
      <w:pPr>
        <w:rPr>
          <w:rFonts w:ascii="宋体"/>
        </w:rPr>
      </w:pPr>
      <w:r>
        <w:rPr>
          <w:rFonts w:ascii="宋体"/>
        </w:rPr>
        <w:br w:type="page"/>
      </w:r>
    </w:p>
    <w:p>
      <w:pPr>
        <w:widowControl/>
        <w:jc w:val="left"/>
        <w:rPr>
          <w:rFonts w:ascii="宋体" w:cs="宋体"/>
          <w:kern w:val="0"/>
          <w:sz w:val="24"/>
        </w:rPr>
        <w:sectPr>
          <w:pgSz w:w="11906" w:h="16838"/>
          <w:pgMar w:top="1134" w:right="1134" w:bottom="1134" w:left="1134" w:header="851" w:footer="737" w:gutter="0"/>
          <w:cols w:space="720" w:num="1"/>
          <w:docGrid w:linePitch="312" w:charSpace="0"/>
        </w:sectPr>
      </w:pPr>
    </w:p>
    <w:p>
      <w:pPr>
        <w:pStyle w:val="3"/>
        <w:jc w:val="center"/>
        <w:rPr>
          <w:rFonts w:ascii="宋体" w:hAnsi="宋体" w:eastAsia="宋体"/>
          <w:sz w:val="24"/>
          <w:szCs w:val="24"/>
        </w:rPr>
      </w:pPr>
      <w:bookmarkStart w:id="6" w:name="_Toc276300671"/>
      <w:bookmarkStart w:id="7" w:name="_Toc275889763"/>
      <w:bookmarkStart w:id="8" w:name="_Toc445296243"/>
      <w:r>
        <w:rPr>
          <w:rFonts w:hint="eastAsia" w:ascii="宋体" w:hAnsi="宋体" w:eastAsia="宋体"/>
          <w:sz w:val="24"/>
          <w:szCs w:val="24"/>
        </w:rPr>
        <w:t>附件三：</w:t>
      </w:r>
      <w:bookmarkEnd w:id="6"/>
      <w:bookmarkEnd w:id="7"/>
      <w:r>
        <w:rPr>
          <w:rFonts w:hint="eastAsia" w:ascii="宋体" w:hAnsi="宋体" w:eastAsia="宋体"/>
          <w:sz w:val="24"/>
          <w:szCs w:val="24"/>
        </w:rPr>
        <w:t>承诺函</w:t>
      </w:r>
      <w:bookmarkEnd w:id="8"/>
    </w:p>
    <w:p>
      <w:pPr>
        <w:jc w:val="center"/>
        <w:rPr>
          <w:rFonts w:ascii="宋体" w:cs="宋体"/>
          <w:b/>
          <w:kern w:val="0"/>
          <w:sz w:val="24"/>
        </w:rPr>
      </w:pPr>
      <w:r>
        <w:rPr>
          <w:rFonts w:hint="eastAsia" w:ascii="宋体" w:hAnsi="宋体" w:cs="宋体"/>
          <w:b/>
          <w:kern w:val="0"/>
          <w:sz w:val="24"/>
        </w:rPr>
        <w:t>承诺函（供应商）</w:t>
      </w:r>
    </w:p>
    <w:p>
      <w:pPr>
        <w:jc w:val="center"/>
        <w:rPr>
          <w:rFonts w:ascii="宋体" w:cs="宋体"/>
          <w:b/>
          <w:kern w:val="0"/>
          <w:sz w:val="24"/>
        </w:rPr>
      </w:pPr>
    </w:p>
    <w:p>
      <w:pPr>
        <w:widowControl/>
        <w:spacing w:line="520" w:lineRule="exact"/>
        <w:ind w:firstLine="480" w:firstLineChars="200"/>
        <w:jc w:val="left"/>
        <w:rPr>
          <w:rFonts w:ascii="宋体" w:cs="宋体"/>
          <w:kern w:val="0"/>
          <w:sz w:val="24"/>
        </w:rPr>
      </w:pPr>
      <w:r>
        <w:rPr>
          <w:rFonts w:hint="eastAsia" w:ascii="宋体" w:hAnsi="宋体" w:cs="宋体"/>
          <w:kern w:val="0"/>
          <w:sz w:val="24"/>
        </w:rPr>
        <w:t>本企业参与</w:t>
      </w:r>
      <w:r>
        <w:rPr>
          <w:rFonts w:hint="eastAsia" w:cs="仿宋_GB2312" w:asciiTheme="minorEastAsia" w:hAnsiTheme="minorEastAsia"/>
          <w:sz w:val="24"/>
        </w:rPr>
        <w:t>昆明市晋宁区国有资本运营有限公司官方网站建设</w:t>
      </w:r>
      <w:r>
        <w:rPr>
          <w:rFonts w:hint="eastAsia" w:ascii="宋体" w:hAnsi="宋体" w:cs="宋体"/>
          <w:kern w:val="0"/>
          <w:sz w:val="24"/>
        </w:rPr>
        <w:t>项目的投标人，现作如下承诺：</w:t>
      </w:r>
    </w:p>
    <w:p>
      <w:pPr>
        <w:widowControl/>
        <w:spacing w:line="520" w:lineRule="exact"/>
        <w:ind w:left="4718" w:leftChars="304" w:hanging="4080" w:hangingChars="1700"/>
        <w:jc w:val="left"/>
        <w:rPr>
          <w:rFonts w:ascii="宋体" w:cs="宋体"/>
          <w:kern w:val="0"/>
          <w:sz w:val="24"/>
        </w:rPr>
      </w:pPr>
      <w:r>
        <w:rPr>
          <w:rFonts w:ascii="宋体" w:hAnsi="宋体" w:cs="宋体"/>
          <w:kern w:val="0"/>
          <w:sz w:val="24"/>
        </w:rPr>
        <w:t>1</w:t>
      </w:r>
      <w:r>
        <w:rPr>
          <w:rFonts w:hint="eastAsia" w:ascii="宋体" w:hAnsi="宋体" w:cs="宋体"/>
          <w:kern w:val="0"/>
          <w:sz w:val="24"/>
        </w:rPr>
        <w:t>、所提供的一切材料都是真实、有效、合法的。</w:t>
      </w:r>
    </w:p>
    <w:p>
      <w:pPr>
        <w:widowControl/>
        <w:spacing w:line="520" w:lineRule="exact"/>
        <w:ind w:firstLine="600" w:firstLineChars="250"/>
        <w:jc w:val="left"/>
        <w:rPr>
          <w:rFonts w:ascii="宋体" w:cs="宋体"/>
          <w:kern w:val="0"/>
          <w:sz w:val="24"/>
        </w:rPr>
      </w:pPr>
      <w:r>
        <w:rPr>
          <w:rFonts w:ascii="宋体" w:hAnsi="宋体" w:cs="宋体"/>
          <w:kern w:val="0"/>
          <w:sz w:val="24"/>
        </w:rPr>
        <w:t>2</w:t>
      </w:r>
      <w:r>
        <w:rPr>
          <w:rFonts w:hint="eastAsia" w:ascii="宋体" w:hAnsi="宋体" w:cs="宋体"/>
          <w:kern w:val="0"/>
          <w:sz w:val="24"/>
        </w:rPr>
        <w:t>、不与其他投标供应商串通投标，不损害投标人或其他投标供应商的合法权益。</w:t>
      </w:r>
    </w:p>
    <w:p>
      <w:pPr>
        <w:widowControl/>
        <w:spacing w:line="520" w:lineRule="exact"/>
        <w:ind w:firstLine="600" w:firstLineChars="250"/>
        <w:jc w:val="left"/>
        <w:rPr>
          <w:rFonts w:ascii="宋体" w:cs="宋体"/>
          <w:kern w:val="0"/>
          <w:sz w:val="24"/>
        </w:rPr>
      </w:pPr>
      <w:r>
        <w:rPr>
          <w:rFonts w:ascii="宋体" w:hAnsi="宋体" w:cs="宋体"/>
          <w:kern w:val="0"/>
          <w:sz w:val="24"/>
        </w:rPr>
        <w:t>3</w:t>
      </w:r>
      <w:r>
        <w:rPr>
          <w:rFonts w:hint="eastAsia" w:ascii="宋体" w:hAnsi="宋体" w:cs="宋体"/>
          <w:kern w:val="0"/>
          <w:sz w:val="24"/>
        </w:rPr>
        <w:t>、不转让、出租、出借资质证书、人员岗位证书或以其他方式允许他人以本企业名义投标。</w:t>
      </w:r>
    </w:p>
    <w:p>
      <w:pPr>
        <w:widowControl/>
        <w:spacing w:line="520" w:lineRule="exact"/>
        <w:ind w:firstLine="480" w:firstLineChars="200"/>
        <w:jc w:val="left"/>
        <w:rPr>
          <w:rFonts w:ascii="宋体" w:cs="宋体"/>
          <w:kern w:val="0"/>
          <w:sz w:val="24"/>
        </w:rPr>
      </w:pPr>
      <w:r>
        <w:rPr>
          <w:rFonts w:ascii="宋体" w:hAnsi="宋体" w:cs="宋体"/>
          <w:kern w:val="0"/>
          <w:sz w:val="24"/>
        </w:rPr>
        <w:t>4</w:t>
      </w:r>
      <w:r>
        <w:rPr>
          <w:rFonts w:hint="eastAsia" w:ascii="宋体" w:hAnsi="宋体" w:cs="宋体"/>
          <w:kern w:val="0"/>
          <w:sz w:val="24"/>
        </w:rPr>
        <w:t>、不与投标人串通投标，损害国家利益、社会公共利益或者他人的合法权益。</w:t>
      </w:r>
    </w:p>
    <w:p>
      <w:pPr>
        <w:widowControl/>
        <w:spacing w:line="520" w:lineRule="exact"/>
        <w:ind w:firstLine="480" w:firstLineChars="200"/>
        <w:jc w:val="left"/>
        <w:rPr>
          <w:rFonts w:ascii="宋体" w:cs="宋体"/>
          <w:kern w:val="0"/>
          <w:sz w:val="24"/>
        </w:rPr>
      </w:pPr>
      <w:r>
        <w:rPr>
          <w:rFonts w:ascii="宋体" w:hAnsi="宋体" w:cs="宋体"/>
          <w:kern w:val="0"/>
          <w:sz w:val="24"/>
        </w:rPr>
        <w:t>5</w:t>
      </w:r>
      <w:r>
        <w:rPr>
          <w:rFonts w:hint="eastAsia" w:ascii="宋体" w:hAnsi="宋体" w:cs="宋体"/>
          <w:kern w:val="0"/>
          <w:sz w:val="24"/>
        </w:rPr>
        <w:t>、不向投标人、发标单位人员行贿。</w:t>
      </w:r>
    </w:p>
    <w:p>
      <w:pPr>
        <w:widowControl/>
        <w:spacing w:line="520" w:lineRule="exact"/>
        <w:ind w:firstLine="480" w:firstLineChars="200"/>
        <w:jc w:val="left"/>
        <w:rPr>
          <w:rFonts w:ascii="宋体" w:cs="宋体"/>
          <w:kern w:val="0"/>
          <w:sz w:val="24"/>
        </w:rPr>
      </w:pPr>
      <w:r>
        <w:rPr>
          <w:rFonts w:hint="eastAsia" w:ascii="宋体" w:hAnsi="宋体" w:cs="宋体"/>
          <w:kern w:val="0"/>
          <w:sz w:val="24"/>
        </w:rPr>
        <w:t>6、不进行虚假恶意投诉。</w:t>
      </w:r>
    </w:p>
    <w:p>
      <w:pPr>
        <w:widowControl/>
        <w:spacing w:line="520" w:lineRule="exact"/>
        <w:ind w:firstLine="480" w:firstLineChars="200"/>
        <w:jc w:val="left"/>
        <w:rPr>
          <w:rFonts w:ascii="宋体" w:cs="宋体"/>
          <w:kern w:val="0"/>
          <w:sz w:val="24"/>
        </w:rPr>
      </w:pPr>
      <w:r>
        <w:rPr>
          <w:rFonts w:hint="eastAsia" w:ascii="宋体" w:hAnsi="宋体" w:cs="宋体"/>
          <w:kern w:val="0"/>
          <w:sz w:val="24"/>
        </w:rPr>
        <w:t>7、因违反法律、法规、规章被查处的，不干预案件查处。</w:t>
      </w:r>
    </w:p>
    <w:p>
      <w:pPr>
        <w:widowControl/>
        <w:spacing w:line="520" w:lineRule="exact"/>
        <w:ind w:firstLine="480" w:firstLineChars="200"/>
        <w:jc w:val="left"/>
        <w:rPr>
          <w:rFonts w:ascii="宋体" w:cs="宋体"/>
          <w:kern w:val="0"/>
          <w:sz w:val="24"/>
        </w:rPr>
      </w:pPr>
      <w:r>
        <w:rPr>
          <w:rFonts w:hint="eastAsia" w:ascii="宋体" w:hAnsi="宋体"/>
          <w:sz w:val="24"/>
        </w:rPr>
        <w:t>如出现上述行为，本投标人自愿承担相关责任，接受招标投标监督管理部门、纪检监察部门或司法机关调查处理。</w:t>
      </w:r>
      <w:r>
        <w:rPr>
          <w:rFonts w:hint="eastAsia" w:ascii="宋体" w:hAnsi="宋体" w:cs="宋体"/>
          <w:kern w:val="0"/>
          <w:sz w:val="24"/>
        </w:rPr>
        <w:t>给招标人造成损失的，依法承担赔偿责任。</w:t>
      </w:r>
    </w:p>
    <w:p>
      <w:pPr>
        <w:widowControl/>
        <w:tabs>
          <w:tab w:val="left" w:pos="6210"/>
        </w:tabs>
        <w:spacing w:line="520" w:lineRule="exact"/>
        <w:ind w:firstLine="480" w:firstLineChars="200"/>
        <w:jc w:val="left"/>
        <w:rPr>
          <w:rFonts w:ascii="宋体" w:cs="宋体"/>
          <w:kern w:val="0"/>
          <w:sz w:val="24"/>
        </w:rPr>
      </w:pPr>
      <w:r>
        <w:rPr>
          <w:rFonts w:ascii="宋体" w:cs="宋体"/>
          <w:kern w:val="0"/>
          <w:sz w:val="24"/>
        </w:rPr>
        <w:tab/>
      </w:r>
    </w:p>
    <w:p>
      <w:pPr>
        <w:widowControl/>
        <w:tabs>
          <w:tab w:val="left" w:pos="6210"/>
        </w:tabs>
        <w:spacing w:line="520" w:lineRule="exact"/>
        <w:ind w:firstLine="480" w:firstLineChars="200"/>
        <w:jc w:val="left"/>
        <w:rPr>
          <w:rFonts w:ascii="宋体" w:cs="宋体"/>
          <w:kern w:val="0"/>
          <w:sz w:val="24"/>
        </w:rPr>
      </w:pPr>
    </w:p>
    <w:p>
      <w:pPr>
        <w:widowControl/>
        <w:tabs>
          <w:tab w:val="left" w:pos="6210"/>
        </w:tabs>
        <w:spacing w:line="520" w:lineRule="exact"/>
        <w:ind w:firstLine="480" w:firstLineChars="200"/>
        <w:jc w:val="left"/>
        <w:rPr>
          <w:rFonts w:ascii="宋体" w:cs="宋体"/>
          <w:kern w:val="0"/>
          <w:sz w:val="24"/>
        </w:rPr>
      </w:pPr>
    </w:p>
    <w:p>
      <w:pPr>
        <w:widowControl/>
        <w:spacing w:line="600" w:lineRule="exact"/>
        <w:ind w:right="480"/>
        <w:jc w:val="center"/>
        <w:rPr>
          <w:rFonts w:ascii="宋体" w:cs="宋体"/>
          <w:kern w:val="0"/>
          <w:sz w:val="24"/>
          <w:u w:val="single"/>
        </w:rPr>
      </w:pPr>
      <w:r>
        <w:rPr>
          <w:rFonts w:hint="eastAsia" w:ascii="宋体" w:hAnsi="宋体" w:cs="宋体"/>
          <w:kern w:val="0"/>
          <w:sz w:val="24"/>
        </w:rPr>
        <w:t xml:space="preserve">                       投标单位全称（盖章）：</w:t>
      </w:r>
    </w:p>
    <w:p>
      <w:pPr>
        <w:widowControl/>
        <w:spacing w:line="600" w:lineRule="exact"/>
        <w:ind w:right="640"/>
        <w:jc w:val="right"/>
        <w:rPr>
          <w:rFonts w:ascii="宋体" w:cs="宋体"/>
          <w:kern w:val="0"/>
          <w:sz w:val="24"/>
          <w:u w:val="single"/>
        </w:rPr>
      </w:pPr>
      <w:r>
        <w:rPr>
          <w:rFonts w:hint="eastAsia" w:ascii="宋体" w:hAnsi="宋体" w:cs="宋体"/>
          <w:kern w:val="0"/>
          <w:sz w:val="24"/>
        </w:rPr>
        <w:t>法定代表人或授权委托人（签字）：</w:t>
      </w:r>
    </w:p>
    <w:p>
      <w:pPr>
        <w:widowControl/>
        <w:spacing w:line="600" w:lineRule="exact"/>
        <w:ind w:right="1120"/>
        <w:jc w:val="center"/>
        <w:rPr>
          <w:rFonts w:ascii="宋体" w:cs="宋体"/>
          <w:kern w:val="0"/>
          <w:sz w:val="24"/>
        </w:rPr>
      </w:pPr>
      <w:r>
        <w:rPr>
          <w:rFonts w:hint="eastAsia" w:ascii="宋体" w:hAnsi="宋体" w:cs="宋体"/>
          <w:kern w:val="0"/>
          <w:sz w:val="24"/>
        </w:rPr>
        <w:t xml:space="preserve">                      </w:t>
      </w:r>
      <w:r>
        <w:rPr>
          <w:rFonts w:ascii="宋体" w:hAnsi="宋体" w:cs="宋体"/>
          <w:kern w:val="0"/>
          <w:sz w:val="24"/>
        </w:rPr>
        <w:t xml:space="preserve"> 20</w:t>
      </w:r>
      <w:r>
        <w:rPr>
          <w:rFonts w:hint="eastAsia" w:ascii="宋体" w:hAnsi="宋体" w:cs="宋体"/>
          <w:kern w:val="0"/>
          <w:sz w:val="24"/>
        </w:rPr>
        <w:t>2</w:t>
      </w:r>
      <w:r>
        <w:rPr>
          <w:rFonts w:hint="eastAsia" w:ascii="宋体" w:hAnsi="宋体" w:cs="宋体"/>
          <w:kern w:val="0"/>
          <w:sz w:val="24"/>
          <w:lang w:val="en-US" w:eastAsia="zh-CN"/>
        </w:rPr>
        <w:t>2</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rPr>
          <w:rFonts w:ascii="宋体"/>
          <w:sz w:val="24"/>
        </w:rPr>
      </w:pPr>
      <w:r>
        <w:rPr>
          <w:rFonts w:ascii="宋体"/>
          <w:sz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decimal"/>
      <w:suff w:val="space"/>
      <w:lvlText w:val="%1. "/>
      <w:lvlJc w:val="left"/>
      <w:pPr>
        <w:ind w:left="907" w:hanging="907"/>
      </w:pPr>
      <w:rPr>
        <w:rFonts w:hint="eastAsia"/>
      </w:rPr>
    </w:lvl>
    <w:lvl w:ilvl="1" w:tentative="0">
      <w:start w:val="1"/>
      <w:numFmt w:val="decimal"/>
      <w:pStyle w:val="18"/>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sz w:val="24"/>
        <w:szCs w:val="24"/>
      </w:rPr>
    </w:lvl>
    <w:lvl w:ilvl="3" w:tentative="0">
      <w:start w:val="1"/>
      <w:numFmt w:val="decimal"/>
      <w:isLgl/>
      <w:suff w:val="space"/>
      <w:lvlText w:val="%1.%2.%3.%4 "/>
      <w:lvlJc w:val="left"/>
      <w:pPr>
        <w:ind w:left="1021" w:hanging="1021"/>
      </w:pPr>
      <w:rPr>
        <w:rFonts w:hint="eastAsia"/>
      </w:rPr>
    </w:lvl>
    <w:lvl w:ilvl="4" w:tentative="0">
      <w:start w:val="1"/>
      <w:numFmt w:val="decimal"/>
      <w:isLgl/>
      <w:suff w:val="space"/>
      <w:lvlText w:val="%1.%2.%3.%4.%5 "/>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B2BD2"/>
    <w:rsid w:val="00005250"/>
    <w:rsid w:val="00005909"/>
    <w:rsid w:val="00007292"/>
    <w:rsid w:val="00027C24"/>
    <w:rsid w:val="00035123"/>
    <w:rsid w:val="00063904"/>
    <w:rsid w:val="00067DBF"/>
    <w:rsid w:val="000A3B1D"/>
    <w:rsid w:val="000A625E"/>
    <w:rsid w:val="000D1A85"/>
    <w:rsid w:val="000F6BDE"/>
    <w:rsid w:val="00162EF9"/>
    <w:rsid w:val="0019424B"/>
    <w:rsid w:val="001C556D"/>
    <w:rsid w:val="001E1C29"/>
    <w:rsid w:val="001F4E44"/>
    <w:rsid w:val="002411A9"/>
    <w:rsid w:val="0026091E"/>
    <w:rsid w:val="002B1777"/>
    <w:rsid w:val="003009E3"/>
    <w:rsid w:val="00317E9D"/>
    <w:rsid w:val="003517B9"/>
    <w:rsid w:val="003643E1"/>
    <w:rsid w:val="003A29DE"/>
    <w:rsid w:val="003D4084"/>
    <w:rsid w:val="003F1C4A"/>
    <w:rsid w:val="003F4AB5"/>
    <w:rsid w:val="003F73E0"/>
    <w:rsid w:val="00467F67"/>
    <w:rsid w:val="00480EB4"/>
    <w:rsid w:val="004A103A"/>
    <w:rsid w:val="004C130B"/>
    <w:rsid w:val="00533135"/>
    <w:rsid w:val="00595EC9"/>
    <w:rsid w:val="00615ED7"/>
    <w:rsid w:val="006204AB"/>
    <w:rsid w:val="006414AB"/>
    <w:rsid w:val="00672FFF"/>
    <w:rsid w:val="006848A2"/>
    <w:rsid w:val="006B6845"/>
    <w:rsid w:val="006C3256"/>
    <w:rsid w:val="006E1D9E"/>
    <w:rsid w:val="006E241E"/>
    <w:rsid w:val="006F64E8"/>
    <w:rsid w:val="00722E09"/>
    <w:rsid w:val="00744DDD"/>
    <w:rsid w:val="007456D3"/>
    <w:rsid w:val="00755C56"/>
    <w:rsid w:val="00763057"/>
    <w:rsid w:val="00763900"/>
    <w:rsid w:val="007755E2"/>
    <w:rsid w:val="00775BAC"/>
    <w:rsid w:val="00784758"/>
    <w:rsid w:val="007A0D28"/>
    <w:rsid w:val="007B6D0F"/>
    <w:rsid w:val="007F16C9"/>
    <w:rsid w:val="007F291E"/>
    <w:rsid w:val="008410E0"/>
    <w:rsid w:val="008725E1"/>
    <w:rsid w:val="008A34B4"/>
    <w:rsid w:val="008C36AD"/>
    <w:rsid w:val="00956951"/>
    <w:rsid w:val="0096203D"/>
    <w:rsid w:val="0096637A"/>
    <w:rsid w:val="0099659A"/>
    <w:rsid w:val="009E6E9B"/>
    <w:rsid w:val="00A36272"/>
    <w:rsid w:val="00A6093D"/>
    <w:rsid w:val="00A92DFA"/>
    <w:rsid w:val="00A930C4"/>
    <w:rsid w:val="00AB24EE"/>
    <w:rsid w:val="00AF1829"/>
    <w:rsid w:val="00AF43A5"/>
    <w:rsid w:val="00AF6832"/>
    <w:rsid w:val="00B029A7"/>
    <w:rsid w:val="00B22884"/>
    <w:rsid w:val="00B42003"/>
    <w:rsid w:val="00B80EDA"/>
    <w:rsid w:val="00BA5B9D"/>
    <w:rsid w:val="00BB3709"/>
    <w:rsid w:val="00C9006F"/>
    <w:rsid w:val="00C94CF5"/>
    <w:rsid w:val="00CB2781"/>
    <w:rsid w:val="00CC5E7A"/>
    <w:rsid w:val="00CF11AE"/>
    <w:rsid w:val="00D133AD"/>
    <w:rsid w:val="00D563D7"/>
    <w:rsid w:val="00D60D5D"/>
    <w:rsid w:val="00D6427E"/>
    <w:rsid w:val="00DA0C3C"/>
    <w:rsid w:val="00DB07EC"/>
    <w:rsid w:val="00DD1BAE"/>
    <w:rsid w:val="00DD2360"/>
    <w:rsid w:val="00DD5B34"/>
    <w:rsid w:val="00E44230"/>
    <w:rsid w:val="00E573B5"/>
    <w:rsid w:val="00ED2E24"/>
    <w:rsid w:val="00ED3657"/>
    <w:rsid w:val="00EE6629"/>
    <w:rsid w:val="00EF6BA5"/>
    <w:rsid w:val="00F13277"/>
    <w:rsid w:val="00F4161F"/>
    <w:rsid w:val="00F90560"/>
    <w:rsid w:val="00F940D3"/>
    <w:rsid w:val="00FA4AE9"/>
    <w:rsid w:val="00FE486F"/>
    <w:rsid w:val="00FF4A32"/>
    <w:rsid w:val="02441F1E"/>
    <w:rsid w:val="02FD4D40"/>
    <w:rsid w:val="038D1CCC"/>
    <w:rsid w:val="0FED5ADF"/>
    <w:rsid w:val="1062699F"/>
    <w:rsid w:val="132663A5"/>
    <w:rsid w:val="13684491"/>
    <w:rsid w:val="16665E97"/>
    <w:rsid w:val="1EC153FC"/>
    <w:rsid w:val="222039B6"/>
    <w:rsid w:val="22364E1D"/>
    <w:rsid w:val="23AE0B4E"/>
    <w:rsid w:val="29644437"/>
    <w:rsid w:val="2ACD3FAF"/>
    <w:rsid w:val="2B290B60"/>
    <w:rsid w:val="2B5526BC"/>
    <w:rsid w:val="2B763BC4"/>
    <w:rsid w:val="2E2B44BD"/>
    <w:rsid w:val="2F3C7540"/>
    <w:rsid w:val="308710A4"/>
    <w:rsid w:val="32246346"/>
    <w:rsid w:val="37841E99"/>
    <w:rsid w:val="3CB11983"/>
    <w:rsid w:val="436A7726"/>
    <w:rsid w:val="446C68F2"/>
    <w:rsid w:val="44E42496"/>
    <w:rsid w:val="4B45785C"/>
    <w:rsid w:val="4FCC37AE"/>
    <w:rsid w:val="508F1B83"/>
    <w:rsid w:val="576C7D7E"/>
    <w:rsid w:val="583B5C5C"/>
    <w:rsid w:val="5D07484F"/>
    <w:rsid w:val="5D105DA5"/>
    <w:rsid w:val="5FCB2BD2"/>
    <w:rsid w:val="69E336DC"/>
    <w:rsid w:val="6B6C4B43"/>
    <w:rsid w:val="6CA259B8"/>
    <w:rsid w:val="71357785"/>
    <w:rsid w:val="738D64B2"/>
    <w:rsid w:val="770245AD"/>
    <w:rsid w:val="788F30E6"/>
    <w:rsid w:val="79A53F92"/>
    <w:rsid w:val="7C2E37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 w:type="paragraph" w:customStyle="1" w:styleId="15">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2"/>
    </w:rPr>
  </w:style>
  <w:style w:type="character" w:customStyle="1" w:styleId="16">
    <w:name w:val="标题 2 Char"/>
    <w:basedOn w:val="9"/>
    <w:link w:val="3"/>
    <w:semiHidden/>
    <w:qFormat/>
    <w:uiPriority w:val="0"/>
    <w:rPr>
      <w:rFonts w:asciiTheme="majorHAnsi" w:hAnsiTheme="majorHAnsi" w:eastAsiaTheme="majorEastAsia" w:cstheme="majorBidi"/>
      <w:b/>
      <w:bCs/>
      <w:kern w:val="2"/>
      <w:sz w:val="32"/>
      <w:szCs w:val="32"/>
    </w:r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8">
    <w:name w:val="标题 2（深信服）"/>
    <w:basedOn w:val="3"/>
    <w:next w:val="1"/>
    <w:qFormat/>
    <w:uiPriority w:val="0"/>
    <w:pPr>
      <w:numPr>
        <w:ilvl w:val="1"/>
        <w:numId w:val="1"/>
      </w:numPr>
      <w:spacing w:line="415" w:lineRule="auto"/>
    </w:pPr>
    <w:rPr>
      <w:rFonts w:ascii="Arial" w:hAnsi="Arial" w:eastAsia="黑体" w:cs="Times New Roman"/>
      <w:bCs w:val="0"/>
    </w:rPr>
  </w:style>
  <w:style w:type="paragraph" w:customStyle="1" w:styleId="19">
    <w:name w:val="SANGFOR_6_正文"/>
    <w:basedOn w:val="1"/>
    <w:qFormat/>
    <w:uiPriority w:val="0"/>
    <w:pPr>
      <w:widowControl w:val="0"/>
    </w:pPr>
    <w:rPr>
      <w:rFonts w:ascii="宋体" w:hAnsi="宋体"/>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658</Words>
  <Characters>3753</Characters>
  <Lines>31</Lines>
  <Paragraphs>8</Paragraphs>
  <TotalTime>2</TotalTime>
  <ScaleCrop>false</ScaleCrop>
  <LinksUpToDate>false</LinksUpToDate>
  <CharactersWithSpaces>4403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2020-08-07T04:25:00Z</dcterms:created>
  <dc:creator>BellWin博文</dc:creator>
  <cp:lastModifiedBy>李。。。。。666666</cp:lastModifiedBy>
  <cp:lastPrinted>2020-08-14T08:18:00Z</cp:lastPrinted>
  <dcterms:modified xsi:type="dcterms:W3CDTF">2022-01-17T09:21:46Z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729AA96FE5B94791BAB9D2EB23810728</vt:lpwstr>
  </property>
</Properties>
</file>